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82" w:type="dxa"/>
        <w:tblInd w:w="-426" w:type="dxa"/>
        <w:tblBorders>
          <w:top w:val="nil"/>
          <w:left w:val="nil"/>
          <w:bottom w:val="nil"/>
          <w:right w:val="nil"/>
          <w:insideH w:val="nil"/>
          <w:insideV w:val="nil"/>
        </w:tblBorders>
        <w:tblLayout w:type="fixed"/>
        <w:tblLook w:val="04A0" w:firstRow="1" w:lastRow="0" w:firstColumn="1" w:lastColumn="0" w:noHBand="0" w:noVBand="1"/>
      </w:tblPr>
      <w:tblGrid>
        <w:gridCol w:w="4535"/>
        <w:gridCol w:w="5247"/>
      </w:tblGrid>
      <w:tr w:rsidR="00D30658" w:rsidTr="00B000AD">
        <w:tc>
          <w:tcPr>
            <w:tcW w:w="4535" w:type="dxa"/>
            <w:tcMar>
              <w:top w:w="0" w:type="dxa"/>
              <w:left w:w="0" w:type="dxa"/>
              <w:bottom w:w="60" w:type="dxa"/>
              <w:right w:w="0" w:type="dxa"/>
            </w:tcMar>
            <w:vAlign w:val="center"/>
          </w:tcPr>
          <w:p w:rsidR="00D30658" w:rsidRDefault="006316CE">
            <w:pPr>
              <w:spacing w:after="0" w:line="240" w:lineRule="auto"/>
              <w:jc w:val="center"/>
            </w:pPr>
            <w:r>
              <w:rPr>
                <w:rFonts w:eastAsia="Times New Roman" w:cs="Times New Roman"/>
                <w:b/>
                <w:sz w:val="26"/>
              </w:rPr>
              <w:t>UBND THÀNH PHỐ ĐỒNG NAI</w:t>
            </w:r>
            <w:r>
              <w:rPr>
                <w:rFonts w:eastAsia="Times New Roman" w:cs="Times New Roman"/>
                <w:b/>
                <w:sz w:val="26"/>
              </w:rPr>
              <w:br/>
              <w:t>SỞ NỘI VỤ</w:t>
            </w:r>
          </w:p>
          <w:p w:rsidR="00D30658" w:rsidRDefault="00D30658">
            <w:pPr>
              <w:pBdr>
                <w:bottom w:val="single" w:sz="4" w:space="0" w:color="000000"/>
              </w:pBdr>
              <w:spacing w:after="80" w:line="20" w:lineRule="exact"/>
              <w:ind w:left="936" w:right="936"/>
            </w:pPr>
          </w:p>
        </w:tc>
        <w:tc>
          <w:tcPr>
            <w:tcW w:w="5247" w:type="dxa"/>
            <w:tcMar>
              <w:top w:w="0" w:type="dxa"/>
              <w:left w:w="0" w:type="dxa"/>
              <w:bottom w:w="60" w:type="dxa"/>
              <w:right w:w="0" w:type="dxa"/>
            </w:tcMar>
            <w:vAlign w:val="center"/>
          </w:tcPr>
          <w:p w:rsidR="00D30658" w:rsidRDefault="006316CE">
            <w:pPr>
              <w:spacing w:after="0" w:line="240" w:lineRule="auto"/>
              <w:jc w:val="center"/>
            </w:pPr>
            <w:r>
              <w:rPr>
                <w:rFonts w:eastAsia="Times New Roman" w:cs="Times New Roman"/>
                <w:b/>
                <w:sz w:val="24"/>
              </w:rPr>
              <w:t>CỘNG HÒA XÃ HỘI CHỦ NGHĨA VIỆT NAM</w:t>
            </w:r>
          </w:p>
          <w:p w:rsidR="00D30658" w:rsidRDefault="006316CE">
            <w:pPr>
              <w:pBdr>
                <w:bottom w:val="single" w:sz="4" w:space="3" w:color="000000"/>
              </w:pBdr>
              <w:spacing w:after="80" w:line="240" w:lineRule="auto"/>
              <w:ind w:left="931" w:right="931"/>
              <w:jc w:val="center"/>
            </w:pPr>
            <w:r>
              <w:rPr>
                <w:rFonts w:eastAsia="Times New Roman" w:cs="Times New Roman"/>
                <w:b/>
                <w:sz w:val="26"/>
              </w:rPr>
              <w:t>Độc lập - Tự do - Hạnh phúc</w:t>
            </w:r>
          </w:p>
        </w:tc>
      </w:tr>
      <w:tr w:rsidR="00D30658" w:rsidTr="00B000AD">
        <w:tc>
          <w:tcPr>
            <w:tcW w:w="4535" w:type="dxa"/>
            <w:tcMar>
              <w:top w:w="0" w:type="dxa"/>
              <w:left w:w="0" w:type="dxa"/>
              <w:bottom w:w="60" w:type="dxa"/>
              <w:right w:w="0" w:type="dxa"/>
            </w:tcMar>
            <w:vAlign w:val="center"/>
          </w:tcPr>
          <w:p w:rsidR="00D30658" w:rsidRDefault="006316CE">
            <w:pPr>
              <w:spacing w:after="0" w:line="240" w:lineRule="auto"/>
              <w:jc w:val="center"/>
            </w:pPr>
            <w:r>
              <w:rPr>
                <w:rFonts w:eastAsia="Times New Roman" w:cs="Times New Roman"/>
                <w:sz w:val="26"/>
              </w:rPr>
              <w:t>Số:          /TTr-SNV</w:t>
            </w:r>
          </w:p>
        </w:tc>
        <w:tc>
          <w:tcPr>
            <w:tcW w:w="5247" w:type="dxa"/>
            <w:tcMar>
              <w:top w:w="0" w:type="dxa"/>
              <w:left w:w="0" w:type="dxa"/>
              <w:bottom w:w="60" w:type="dxa"/>
              <w:right w:w="0" w:type="dxa"/>
            </w:tcMar>
            <w:vAlign w:val="center"/>
          </w:tcPr>
          <w:p w:rsidR="00D30658" w:rsidRDefault="006316CE">
            <w:pPr>
              <w:spacing w:after="0" w:line="240" w:lineRule="auto"/>
              <w:jc w:val="center"/>
            </w:pPr>
            <w:r>
              <w:rPr>
                <w:rFonts w:eastAsia="Times New Roman" w:cs="Times New Roman"/>
                <w:i/>
                <w:sz w:val="26"/>
              </w:rPr>
              <w:t>Đồng Nai, ngày      tháng      năm 2026</w:t>
            </w:r>
          </w:p>
        </w:tc>
      </w:tr>
    </w:tbl>
    <w:p w:rsidR="00D30658" w:rsidRPr="00B000AD" w:rsidRDefault="006316CE" w:rsidP="00B000AD">
      <w:pPr>
        <w:spacing w:before="240"/>
        <w:rPr>
          <w:b/>
        </w:rPr>
      </w:pPr>
      <w:r w:rsidRPr="00B000AD">
        <w:rPr>
          <w:rFonts w:eastAsia="Times New Roman" w:cs="Times New Roman"/>
          <w:b/>
          <w:i/>
          <w:sz w:val="24"/>
        </w:rPr>
        <w:t>DỰ THẢO</w:t>
      </w:r>
    </w:p>
    <w:p w:rsidR="00D30658" w:rsidRDefault="006316CE">
      <w:pPr>
        <w:pStyle w:val="Title"/>
        <w:keepNext/>
        <w:spacing w:after="60" w:line="264" w:lineRule="auto"/>
        <w:jc w:val="center"/>
      </w:pPr>
      <w:r>
        <w:rPr>
          <w:rFonts w:ascii="Times New Roman" w:eastAsia="Times New Roman" w:hAnsi="Times New Roman" w:cs="Times New Roman"/>
          <w:b/>
        </w:rPr>
        <w:t>TỜ TRÌNH</w:t>
      </w:r>
    </w:p>
    <w:p w:rsidR="00D30658" w:rsidRDefault="006316CE">
      <w:pPr>
        <w:pStyle w:val="Subtitle"/>
        <w:keepNext/>
        <w:spacing w:after="200"/>
        <w:jc w:val="center"/>
      </w:pPr>
      <w:r>
        <w:rPr>
          <w:rFonts w:ascii="Times New Roman" w:eastAsia="Times New Roman" w:hAnsi="Times New Roman" w:cs="Times New Roman"/>
          <w:b/>
          <w:i w:val="0"/>
        </w:rPr>
        <w:t xml:space="preserve">Dự thảo Quyết định ban hành Quy định mức hỗ trợ đào tạo, chuyển đổi nghề và </w:t>
      </w:r>
      <w:r>
        <w:rPr>
          <w:rFonts w:ascii="Times New Roman" w:eastAsia="Times New Roman" w:hAnsi="Times New Roman" w:cs="Times New Roman"/>
          <w:b/>
          <w:i w:val="0"/>
        </w:rPr>
        <w:t>tìm kiếm việc làm cho người có đất thu hồi trên địa bàn thành phố Đồng Nai</w:t>
      </w:r>
    </w:p>
    <w:p w:rsidR="00D30658" w:rsidRDefault="006316CE" w:rsidP="00B000AD">
      <w:pPr>
        <w:spacing w:before="120" w:after="200"/>
        <w:jc w:val="center"/>
      </w:pPr>
      <w:r>
        <w:rPr>
          <w:rFonts w:eastAsia="Times New Roman" w:cs="Times New Roman"/>
        </w:rPr>
        <w:t>Kính gửi: Ủy ban nhân dân thành phố Đồng Nai</w:t>
      </w:r>
    </w:p>
    <w:p w:rsidR="00D30658" w:rsidRDefault="006316CE">
      <w:pPr>
        <w:ind w:firstLine="709"/>
        <w:jc w:val="both"/>
      </w:pPr>
      <w:r>
        <w:rPr>
          <w:rFonts w:eastAsia="Times New Roman" w:cs="Times New Roman"/>
        </w:rPr>
        <w:t>Thực hiện quy định của Luật Ban hành văn bản quy phạm pháp luật số 64/2025/QH15 được sửa đổi, bổ sung bởi Luật số 87/2025/QH15, Sở Nội v</w:t>
      </w:r>
      <w:r>
        <w:rPr>
          <w:rFonts w:eastAsia="Times New Roman" w:cs="Times New Roman"/>
        </w:rPr>
        <w:t>ụ kính trình Ủy ban nhân dân thành phố dự thảo Quyết định ban hành Quy định mức hỗ trợ đào tạo, chuyển đổi nghề và tìm kiếm việc làm cho người có đất thu hồi trên địa bàn thành phố Đồng Nai như sau:</w:t>
      </w:r>
    </w:p>
    <w:p w:rsidR="00D30658" w:rsidRDefault="006316CE">
      <w:pPr>
        <w:pStyle w:val="Heading1"/>
        <w:ind w:firstLine="709"/>
        <w:jc w:val="both"/>
      </w:pPr>
      <w:r>
        <w:rPr>
          <w:rFonts w:ascii="Times New Roman" w:eastAsia="Times New Roman" w:hAnsi="Times New Roman" w:cs="Times New Roman"/>
        </w:rPr>
        <w:t>I. SỰ CẦN THIẾT BAN HÀNH VĂN BẢN</w:t>
      </w:r>
    </w:p>
    <w:p w:rsidR="00D30658" w:rsidRDefault="006316CE">
      <w:pPr>
        <w:keepNext/>
        <w:ind w:firstLine="709"/>
        <w:jc w:val="both"/>
      </w:pPr>
      <w:r>
        <w:rPr>
          <w:rFonts w:eastAsia="Times New Roman" w:cs="Times New Roman"/>
        </w:rPr>
        <w:t>1. Cơ sở chính trị, pháp</w:t>
      </w:r>
      <w:r>
        <w:rPr>
          <w:rFonts w:eastAsia="Times New Roman" w:cs="Times New Roman"/>
        </w:rPr>
        <w:t xml:space="preserve"> lý</w:t>
      </w:r>
    </w:p>
    <w:p w:rsidR="00D30658" w:rsidRDefault="006316CE">
      <w:pPr>
        <w:ind w:firstLine="709"/>
        <w:jc w:val="both"/>
      </w:pPr>
      <w:r>
        <w:rPr>
          <w:rFonts w:eastAsia="Times New Roman" w:cs="Times New Roman"/>
        </w:rPr>
        <w:t>Điểm b khoản 4 Điều 109 Luật Đất đai số 31/2024/QH15 được sửa đổi, bổ sung bởi Luật số 43/2024/QH15, Luật số 47/2024/QH15, Luật số 58/2024/QH15, Luật số 71/2025/QH15, Luật số 84/2025/QH15, Luật số 93/2025/QH15, Luật số 95/2025/QH15, Luật số 116/2025/QH</w:t>
      </w:r>
      <w:r>
        <w:rPr>
          <w:rFonts w:eastAsia="Times New Roman" w:cs="Times New Roman"/>
        </w:rPr>
        <w:t>15, Luật số 130/2025/QH15, Luật số 142/2025/QH15, Luật số 146/2025/QH15 và Luật số 147/2025/QH15 giao Ủy ban nhân dân cấp tỉnh căn cứ cơ chế, chính sách giải quyết việc làm và đào tạo nghề đã được Thủ tướng Chính phủ quyết định và điều kiện thực tế tại địa</w:t>
      </w:r>
      <w:r>
        <w:rPr>
          <w:rFonts w:eastAsia="Times New Roman" w:cs="Times New Roman"/>
        </w:rPr>
        <w:t xml:space="preserve"> phương quy định mức hỗ trợ cụ thể phù hợp với đối tượng được hỗ trợ tại khoản 2 và khoản 3 Điều này.</w:t>
      </w:r>
    </w:p>
    <w:p w:rsidR="00D30658" w:rsidRDefault="006316CE">
      <w:pPr>
        <w:ind w:firstLine="709"/>
        <w:jc w:val="both"/>
      </w:pPr>
      <w:r>
        <w:rPr>
          <w:rFonts w:eastAsia="Times New Roman" w:cs="Times New Roman"/>
        </w:rPr>
        <w:t>Thủ tướng Chính phủ đã ban hành Quyết định số 12/2024/QĐ-TTg về cơ chế, chính sách giải quyết việc làm và đào tạo nghề cho người có đất thu hồi. Đây là cơ</w:t>
      </w:r>
      <w:r>
        <w:rPr>
          <w:rFonts w:eastAsia="Times New Roman" w:cs="Times New Roman"/>
        </w:rPr>
        <w:t xml:space="preserve"> sở trực tiếp để địa phương quy định mức hỗ trợ đào tạo nghề, giải quyết việc làm trong nước và đi làm việc ở nước ngoài theo hợp đồng đối với người có đất thu hồi.</w:t>
      </w:r>
    </w:p>
    <w:p w:rsidR="00D30658" w:rsidRDefault="006316CE">
      <w:pPr>
        <w:ind w:firstLine="709"/>
        <w:jc w:val="both"/>
      </w:pPr>
      <w:r>
        <w:rPr>
          <w:rFonts w:eastAsia="Times New Roman" w:cs="Times New Roman"/>
        </w:rPr>
        <w:t>Việc xây dựng dự thảo đồng thời căn cứ Luật Tổ chức chính quyền địa phương số 72/2025/QH15,</w:t>
      </w:r>
      <w:r>
        <w:rPr>
          <w:rFonts w:eastAsia="Times New Roman" w:cs="Times New Roman"/>
        </w:rPr>
        <w:t xml:space="preserve"> Luật Việc làm số 74/2025/QH15, Luật Giáo dục nghề nghiệp số 124/2025/QH15 và các văn bản quy định về bồi thường, hỗ trợ, tái định cư, học phí, tín dụng chính sách, hỗ trợ tạo việc làm, gồm: Nghị định số 88/2024/NĐ-CP của Chính phủ quy định về bồi thường, </w:t>
      </w:r>
      <w:r>
        <w:rPr>
          <w:rFonts w:eastAsia="Times New Roman" w:cs="Times New Roman"/>
        </w:rPr>
        <w:t xml:space="preserve">hỗ trợ, tái định cư khi Nhà nước thu hồi đất được sửa đổi, bổ sung bởi Nghị định số 151/2025/NĐ-CP, Nghị định số 226/2025/NĐ-CP và Nghị định số 49/2026/NĐ-CP; Nghị định số </w:t>
      </w:r>
      <w:r>
        <w:rPr>
          <w:rFonts w:eastAsia="Times New Roman" w:cs="Times New Roman"/>
        </w:rPr>
        <w:lastRenderedPageBreak/>
        <w:t>238/2025/NĐ-CP quy định về chính sách học phí, miễn, giảm, hỗ trợ học phí, hỗ trợ ch</w:t>
      </w:r>
      <w:r>
        <w:rPr>
          <w:rFonts w:eastAsia="Times New Roman" w:cs="Times New Roman"/>
        </w:rPr>
        <w:t xml:space="preserve">i phí học tập và giá dịch vụ trong lĩnh vực giáo dục, đào tạo được sửa đổi, bổ sung bởi Nghị định số 66/2026/NĐ-CP; Nghị định số 338/2025/NĐ-CP quy định chi tiết một số điều của Luật Việc làm về chính sách hỗ trợ tạo việc làm; Quyết định số 46/2015/QĐ-TTg </w:t>
      </w:r>
      <w:r>
        <w:rPr>
          <w:rFonts w:eastAsia="Times New Roman" w:cs="Times New Roman"/>
        </w:rPr>
        <w:t>quy định chính sách hỗ trợ đào tạo trình độ sơ cấp, đào tạo dưới 03 tháng; Quyết định số 157/2007/QĐ-TTg về tín dụng đối với học sinh, sinh viên được sửa đổi, bổ sung bởi Quyết định số 05/2022/QĐ-TTg.</w:t>
      </w:r>
    </w:p>
    <w:p w:rsidR="00D30658" w:rsidRDefault="006316CE">
      <w:pPr>
        <w:ind w:firstLine="709"/>
        <w:jc w:val="both"/>
      </w:pPr>
      <w:r>
        <w:rPr>
          <w:rFonts w:eastAsia="Times New Roman" w:cs="Times New Roman"/>
        </w:rPr>
        <w:t>Trình tự, thủ tục xây dựng, ban hành thực hiện theo Luậ</w:t>
      </w:r>
      <w:r>
        <w:rPr>
          <w:rFonts w:eastAsia="Times New Roman" w:cs="Times New Roman"/>
        </w:rPr>
        <w:t>t Ban hành văn bản quy phạm pháp luật số 64/2025/QH15 được sửa đổi, bổ sung bởi Luật số 87/2025/QH15 và Nghị định số 78/2025/NĐ-CP quy định chi tiết một số điều và biện pháp để tổ chức, hướng dẫn thi hành Luật Ban hành văn bản quy phạm pháp luật được sửa đ</w:t>
      </w:r>
      <w:r>
        <w:rPr>
          <w:rFonts w:eastAsia="Times New Roman" w:cs="Times New Roman"/>
        </w:rPr>
        <w:t>ổi, bổ sung bởi Nghị định số 187/2025/NĐ-CP. Chủ tịch Ủy ban nhân dân thành phố đã chấp thuận chủ trương xây dựng Quyết định thay thế Quyết định số 72/2024/QĐ-UBND theo trình tự, thủ tục rút gọn tại Văn bản ngày 10 tháng 9 năm 2026 về chủ trương xây dựng Q</w:t>
      </w:r>
      <w:r>
        <w:rPr>
          <w:rFonts w:eastAsia="Times New Roman" w:cs="Times New Roman"/>
        </w:rPr>
        <w:t>uyết định thay thế Quyết định số 72/2024/QĐ-UBND.</w:t>
      </w:r>
    </w:p>
    <w:p w:rsidR="00D30658" w:rsidRDefault="006316CE">
      <w:pPr>
        <w:keepNext/>
        <w:ind w:firstLine="709"/>
        <w:jc w:val="both"/>
      </w:pPr>
      <w:r>
        <w:rPr>
          <w:rFonts w:eastAsia="Times New Roman" w:cs="Times New Roman"/>
        </w:rPr>
        <w:t>2. Cơ sở thực tiễn</w:t>
      </w:r>
    </w:p>
    <w:p w:rsidR="00D30658" w:rsidRDefault="006316CE">
      <w:pPr>
        <w:ind w:firstLine="709"/>
        <w:jc w:val="both"/>
      </w:pPr>
      <w:r>
        <w:rPr>
          <w:rFonts w:eastAsia="Times New Roman" w:cs="Times New Roman"/>
        </w:rPr>
        <w:t>Ủy ban nhân dân tỉnh Đồng Nai đã ban hành Quyết định số 72/2024/QĐ-UBND ngày 29 tháng 11 năm 2024 ban hành Quy định mức hỗ trợ đào tạo, chuyển đổi nghề và tìm kiếm việc làm cho người có đ</w:t>
      </w:r>
      <w:r>
        <w:rPr>
          <w:rFonts w:eastAsia="Times New Roman" w:cs="Times New Roman"/>
        </w:rPr>
        <w:t>ất thu hồi trên địa bàn tỉnh Đồng Nai. Sau sắp xếp đơn vị hành chính, cần thống nhất quy định áp dụng trên địa bàn thành phố Đồng Nai và cập nhật trách nhiệm của các cơ quan, đơn vị trong mô hình chính quyền địa phương hai cấp.</w:t>
      </w:r>
    </w:p>
    <w:p w:rsidR="00D30658" w:rsidRDefault="006316CE">
      <w:pPr>
        <w:ind w:firstLine="709"/>
        <w:jc w:val="both"/>
      </w:pPr>
      <w:r>
        <w:rPr>
          <w:rFonts w:eastAsia="Times New Roman" w:cs="Times New Roman"/>
        </w:rPr>
        <w:t>Các quy định về việc làm, họ</w:t>
      </w:r>
      <w:r>
        <w:rPr>
          <w:rFonts w:eastAsia="Times New Roman" w:cs="Times New Roman"/>
        </w:rPr>
        <w:t>c phí và tín dụng chính sách đã có thay đổi. Quyết định số 72/2024/QĐ-UBND còn dẫn chiếu các quy định cũ, quy định mức vay hỗ trợ tạo việc làm là 100 triệu đồng/người lao động và phân công nhiệm vụ cho cơ quan, cấp chính quyền không còn phù hợp với tổ chức</w:t>
      </w:r>
      <w:r>
        <w:rPr>
          <w:rFonts w:eastAsia="Times New Roman" w:cs="Times New Roman"/>
        </w:rPr>
        <w:t xml:space="preserve"> bộ máy hiện nay. Việc ban hành văn bản thay thế là cần thiết để bảo đảm thống nhất với pháp luật hiện hành, làm rõ nguồn kinh phí, trách nhiệm phối hợp và việc xử lý chuyển tiếp.</w:t>
      </w:r>
    </w:p>
    <w:p w:rsidR="00D30658" w:rsidRDefault="006316CE">
      <w:pPr>
        <w:ind w:firstLine="709"/>
        <w:jc w:val="both"/>
      </w:pPr>
      <w:r>
        <w:rPr>
          <w:rFonts w:eastAsia="Times New Roman" w:cs="Times New Roman"/>
        </w:rPr>
        <w:t>Theo Báo cáo số 5618/BC-SGDĐT ngày 29 tháng 9 năm 2026 của Sở Giáo dục và Đà</w:t>
      </w:r>
      <w:r>
        <w:rPr>
          <w:rFonts w:eastAsia="Times New Roman" w:cs="Times New Roman"/>
        </w:rPr>
        <w:t>o tạo, đến thời điểm báo cáo chưa có trường hợp người có đất thu hồi nộp hồ sơ hoặc đăng ký học nghề theo Quyết định số 72/2024/QĐ-UBND. Vì vậy, cần tăng cường khảo sát nhu cầu, tư vấn, kết nối đào tạo với việc làm và áp dụng phương thức hỗ trợ phù hợp với</w:t>
      </w:r>
      <w:r>
        <w:rPr>
          <w:rFonts w:eastAsia="Times New Roman" w:cs="Times New Roman"/>
        </w:rPr>
        <w:t xml:space="preserve"> từng chính sách; không quy định chung mọi khoản hỗ trợ chỉ được chi trả sau khi hoàn thành khóa học.</w:t>
      </w:r>
    </w:p>
    <w:p w:rsidR="00D30658" w:rsidRDefault="006316CE">
      <w:pPr>
        <w:ind w:firstLine="709"/>
        <w:jc w:val="both"/>
      </w:pPr>
      <w:r>
        <w:rPr>
          <w:rFonts w:eastAsia="Times New Roman" w:cs="Times New Roman"/>
        </w:rPr>
        <w:t xml:space="preserve">Theo Văn bản số 564/NHCSĐN-KHTD ngày 24 tháng 9 năm 2026 của Chi nhánh Ngân hàng Chính sách xã hội thành phố Đồng Nai, từ đầu năm 2025 </w:t>
      </w:r>
      <w:r>
        <w:rPr>
          <w:rFonts w:eastAsia="Times New Roman" w:cs="Times New Roman"/>
        </w:rPr>
        <w:lastRenderedPageBreak/>
        <w:t>đến ngày 31 tháng 8</w:t>
      </w:r>
      <w:r>
        <w:rPr>
          <w:rFonts w:eastAsia="Times New Roman" w:cs="Times New Roman"/>
        </w:rPr>
        <w:t xml:space="preserve"> năm 2026, cho vay hỗ trợ tạo việc làm đối với người có đất thu hồi có doanh số 960 triệu đồng, với 13 khách hàng; cho vay đi làm việc ở nước ngoài theo hợp đồng có doanh số 192 triệu đồng, với 03 khách hàng. Kết quả này cho thấy cần tiếp tục duy trì chính</w:t>
      </w:r>
      <w:r>
        <w:rPr>
          <w:rFonts w:eastAsia="Times New Roman" w:cs="Times New Roman"/>
        </w:rPr>
        <w:t xml:space="preserve"> sách, đồng thời tăng cường rà soát nhu cầu và phối hợp tiếp cận vốn tín dụng.</w:t>
      </w:r>
    </w:p>
    <w:p w:rsidR="00D30658" w:rsidRDefault="006316CE">
      <w:pPr>
        <w:pStyle w:val="Heading1"/>
        <w:ind w:firstLine="709"/>
        <w:jc w:val="both"/>
      </w:pPr>
      <w:r>
        <w:rPr>
          <w:rFonts w:ascii="Times New Roman" w:eastAsia="Times New Roman" w:hAnsi="Times New Roman" w:cs="Times New Roman"/>
        </w:rPr>
        <w:t>II. MỤC ĐÍCH BAN HÀNH, QUAN ĐIỂM XÂY DỰNG VĂN BẢN</w:t>
      </w:r>
    </w:p>
    <w:p w:rsidR="00D30658" w:rsidRDefault="006316CE">
      <w:pPr>
        <w:keepNext/>
        <w:ind w:firstLine="709"/>
        <w:jc w:val="both"/>
      </w:pPr>
      <w:r>
        <w:rPr>
          <w:rFonts w:eastAsia="Times New Roman" w:cs="Times New Roman"/>
        </w:rPr>
        <w:t>1. Mục đích ban hành văn bản</w:t>
      </w:r>
    </w:p>
    <w:p w:rsidR="00D30658" w:rsidRDefault="006316CE">
      <w:pPr>
        <w:ind w:firstLine="709"/>
        <w:jc w:val="both"/>
      </w:pPr>
      <w:r>
        <w:rPr>
          <w:rFonts w:eastAsia="Times New Roman" w:cs="Times New Roman"/>
        </w:rPr>
        <w:t>Quy định mức hỗ tr</w:t>
      </w:r>
      <w:r>
        <w:rPr>
          <w:rFonts w:eastAsia="Times New Roman" w:cs="Times New Roman"/>
        </w:rPr>
        <w:t>ợ áp dụng thống nhất trên địa bàn thành phố; tạo điều kiện để người có đất thu hồi tham gia học nghề, chuyển đổi nghề nghiệp, tìm kiếm việc làm, ổn định thu nhập và đời sống. Làm rõ trách nhiệm của các cơ quan, đơn vị, địa phương trong tổ chức thực hiện, b</w:t>
      </w:r>
      <w:r>
        <w:rPr>
          <w:rFonts w:eastAsia="Times New Roman" w:cs="Times New Roman"/>
        </w:rPr>
        <w:t>ố trí nguồn lực, theo dõi và báo cáo kết quả.</w:t>
      </w:r>
    </w:p>
    <w:p w:rsidR="00D30658" w:rsidRDefault="006316CE">
      <w:pPr>
        <w:keepNext/>
        <w:ind w:firstLine="709"/>
        <w:jc w:val="both"/>
      </w:pPr>
      <w:r>
        <w:rPr>
          <w:rFonts w:eastAsia="Times New Roman" w:cs="Times New Roman"/>
        </w:rPr>
        <w:t>2. Quan điểm xây dựng văn bản</w:t>
      </w:r>
    </w:p>
    <w:p w:rsidR="00D30658" w:rsidRDefault="006316CE">
      <w:pPr>
        <w:ind w:firstLine="709"/>
        <w:jc w:val="both"/>
      </w:pPr>
      <w:r>
        <w:rPr>
          <w:rFonts w:eastAsia="Times New Roman" w:cs="Times New Roman"/>
        </w:rPr>
        <w:t>Bám sát nội dung được giao tại Điều 109 của Luật Đất đai và cơ chế, chính sách do Thủ tướng Chính phủ quy định; không mở rộng đối tượng ngoài phạm vi được giao, không đặt thêm điều</w:t>
      </w:r>
      <w:r>
        <w:rPr>
          <w:rFonts w:eastAsia="Times New Roman" w:cs="Times New Roman"/>
        </w:rPr>
        <w:t xml:space="preserve"> kiện, thành phần hồ sơ hoặc thủ tục hành chính trái thẩm quyền.</w:t>
      </w:r>
    </w:p>
    <w:p w:rsidR="00D30658" w:rsidRDefault="006316CE">
      <w:pPr>
        <w:ind w:firstLine="709"/>
        <w:jc w:val="both"/>
      </w:pPr>
      <w:r>
        <w:rPr>
          <w:rFonts w:eastAsia="Times New Roman" w:cs="Times New Roman"/>
        </w:rPr>
        <w:t>Mức hỗ trợ được xác định theo quy định hiện hành; bảo đảm không hỗ trợ trùng cùng một khoản chi. Phân định nguồn kinh phí hỗ trợ trực tiếp với nguồn vốn tín dụng chính sách; bảo đảm quyền lợi</w:t>
      </w:r>
      <w:r>
        <w:rPr>
          <w:rFonts w:eastAsia="Times New Roman" w:cs="Times New Roman"/>
        </w:rPr>
        <w:t xml:space="preserve"> đối với nội dung hỗ trợ đã được phê duyệt và hợp đồng đã ký kết theo quy định của pháp luật.</w:t>
      </w:r>
    </w:p>
    <w:p w:rsidR="00D30658" w:rsidRDefault="006316CE">
      <w:pPr>
        <w:pStyle w:val="Heading1"/>
        <w:ind w:firstLine="709"/>
        <w:jc w:val="both"/>
      </w:pPr>
      <w:r>
        <w:rPr>
          <w:rFonts w:ascii="Times New Roman" w:eastAsia="Times New Roman" w:hAnsi="Times New Roman" w:cs="Times New Roman"/>
        </w:rPr>
        <w:t>III. QUÁ TRÌNH XÂY DỰNG DỰ THẢO VĂN BẢN</w:t>
      </w:r>
    </w:p>
    <w:p w:rsidR="00D30658" w:rsidRDefault="006316CE">
      <w:pPr>
        <w:keepNext/>
        <w:ind w:firstLine="709"/>
        <w:jc w:val="both"/>
      </w:pPr>
      <w:r>
        <w:rPr>
          <w:rFonts w:eastAsia="Times New Roman" w:cs="Times New Roman"/>
        </w:rPr>
        <w:t>1. Về chủ trương và tổ chức soạn thảo</w:t>
      </w:r>
    </w:p>
    <w:p w:rsidR="00D30658" w:rsidRDefault="006316CE">
      <w:pPr>
        <w:ind w:firstLine="709"/>
        <w:jc w:val="both"/>
      </w:pPr>
      <w:r>
        <w:rPr>
          <w:rFonts w:eastAsia="Times New Roman" w:cs="Times New Roman"/>
        </w:rPr>
        <w:t>Thực hiện Văn bản số 6889/UBND-NC ngày 06 tháng 8 năm 2026 của Ủy ban nhân dân thành</w:t>
      </w:r>
      <w:r>
        <w:rPr>
          <w:rFonts w:eastAsia="Times New Roman" w:cs="Times New Roman"/>
        </w:rPr>
        <w:t xml:space="preserve"> phố về tổng rà soát, xử lý hệ thống văn bản quy phạm pháp luật, Sở Nội vụ đã rà soát Quyết định số 72/2024/QĐ-UBND; có Văn bản số 6014/SNV-LĐ ngày 26 tháng 8 năm 2026 gửi Sở Tư pháp để lấy ý kiến về việc xây dựng văn bản thay thế theo trình tự, thủ tục rú</w:t>
      </w:r>
      <w:r>
        <w:rPr>
          <w:rFonts w:eastAsia="Times New Roman" w:cs="Times New Roman"/>
        </w:rPr>
        <w:t>t gọn. Trên cơ sở ý kiến tại Văn bản số 3168/STP-XDPBPL ngày 27 tháng 8 năm 2026, Sở Nội vụ trình chủ trương tại Tờ trình số 844/TTr-SNV ngày 07 tháng 9 năm 2026. Ngày 10 tháng 9 năm 2026, Chủ tịch Ủy ban nhân dân thành phố chấp thuận chủ trương xây dựng Q</w:t>
      </w:r>
      <w:r>
        <w:rPr>
          <w:rFonts w:eastAsia="Times New Roman" w:cs="Times New Roman"/>
        </w:rPr>
        <w:t>uyết định theo trình tự, thủ tục rút gọn.</w:t>
      </w:r>
    </w:p>
    <w:p w:rsidR="00D30658" w:rsidRDefault="006316CE">
      <w:pPr>
        <w:keepNext/>
        <w:ind w:firstLine="709"/>
        <w:jc w:val="both"/>
      </w:pPr>
      <w:r>
        <w:rPr>
          <w:rFonts w:eastAsia="Times New Roman" w:cs="Times New Roman"/>
        </w:rPr>
        <w:t>2. Về lấy ý kiến và đăng tải dự thảo</w:t>
      </w:r>
    </w:p>
    <w:p w:rsidR="00D30658" w:rsidRDefault="006316CE">
      <w:pPr>
        <w:ind w:firstLine="709"/>
        <w:jc w:val="both"/>
      </w:pPr>
      <w:r>
        <w:rPr>
          <w:rFonts w:eastAsia="Times New Roman" w:cs="Times New Roman"/>
        </w:rPr>
        <w:t>Sở Nội vụ đã có Văn bản số 7552/SNV-LĐ ngày 29 tháng 9 năm 2026 lấy ý kiến hồ sơ dự thảo. Các văn bản góp ý gồm: Văn bản số 2356/TTPTQĐ-BT ngày 05 tháng 10 năm 2026 của Trung tâ</w:t>
      </w:r>
      <w:r>
        <w:rPr>
          <w:rFonts w:eastAsia="Times New Roman" w:cs="Times New Roman"/>
        </w:rPr>
        <w:t xml:space="preserve">m Phát triển quỹ đất thành phố; Văn bản số 5908/SGDĐT-KHTC ngày 07 tháng 10 năm 2026 của Sở Giáo dục và Đào tạo; Văn bản số 9237/STC-GCS ngày 08 tháng 10 năm 2026 của Sở Tài </w:t>
      </w:r>
      <w:r>
        <w:rPr>
          <w:rFonts w:eastAsia="Times New Roman" w:cs="Times New Roman"/>
        </w:rPr>
        <w:lastRenderedPageBreak/>
        <w:t>chính; Văn bản số 4402/STP-XDPBPL ngày 13 tháng 10 năm 2026 của Sở Tư pháp. Ý kiến</w:t>
      </w:r>
      <w:r>
        <w:rPr>
          <w:rFonts w:eastAsia="Times New Roman" w:cs="Times New Roman"/>
        </w:rPr>
        <w:t xml:space="preserve"> của các cơ quan, đơn vị khác được tổng hợp theo văn bản thực tế nhận được.</w:t>
      </w:r>
    </w:p>
    <w:p w:rsidR="00D30658" w:rsidRDefault="006316CE">
      <w:pPr>
        <w:ind w:firstLine="709"/>
        <w:jc w:val="both"/>
      </w:pPr>
      <w:r>
        <w:rPr>
          <w:rFonts w:eastAsia="Times New Roman" w:cs="Times New Roman"/>
        </w:rPr>
        <w:t xml:space="preserve">Hồ sơ dự thảo được đăng tải để lấy ý kiến trên </w:t>
      </w:r>
      <w:r w:rsidR="00B000AD">
        <w:rPr>
          <w:rFonts w:eastAsia="Times New Roman" w:cs="Times New Roman"/>
        </w:rPr>
        <w:t xml:space="preserve">Trang </w:t>
      </w:r>
      <w:r>
        <w:rPr>
          <w:rFonts w:eastAsia="Times New Roman" w:cs="Times New Roman"/>
        </w:rPr>
        <w:t xml:space="preserve">thông tin điện tử </w:t>
      </w:r>
      <w:r w:rsidR="00B000AD">
        <w:rPr>
          <w:rFonts w:eastAsia="Times New Roman" w:cs="Times New Roman"/>
        </w:rPr>
        <w:t xml:space="preserve">của Sở Nội vụ </w:t>
      </w:r>
      <w:r>
        <w:rPr>
          <w:rFonts w:eastAsia="Times New Roman" w:cs="Times New Roman"/>
        </w:rPr>
        <w:t>thành phố từ ngày … tháng … năm 2026 đến ngày … tháng … năm 2026; địa chỉ đăng tải: … . Thời hạn lấy ý kiến bả</w:t>
      </w:r>
      <w:r>
        <w:rPr>
          <w:rFonts w:eastAsia="Times New Roman" w:cs="Times New Roman"/>
        </w:rPr>
        <w:t>o đảm ít nhất 03 ngày kể từ ngày cơ quan, tổ chức nhận được văn bản đề nghị góp ý, phù hợp với trình tự, thủ tục rút gọn. Bản tổng hợp ý kiến, tiếp thu, giải trình được đăng tải theo quy định.</w:t>
      </w:r>
    </w:p>
    <w:p w:rsidR="00D30658" w:rsidRDefault="006316CE">
      <w:pPr>
        <w:keepNext/>
        <w:ind w:firstLine="709"/>
        <w:jc w:val="both"/>
      </w:pPr>
      <w:r>
        <w:rPr>
          <w:rFonts w:eastAsia="Times New Roman" w:cs="Times New Roman"/>
        </w:rPr>
        <w:t>3. Về tiếp thu, giải trình và hoàn thiện hồ sơ gửi thẩm định</w:t>
      </w:r>
    </w:p>
    <w:p w:rsidR="00D30658" w:rsidRDefault="006316CE">
      <w:pPr>
        <w:ind w:firstLine="709"/>
        <w:jc w:val="both"/>
      </w:pPr>
      <w:r>
        <w:rPr>
          <w:rFonts w:eastAsia="Times New Roman" w:cs="Times New Roman"/>
        </w:rPr>
        <w:t>Sở</w:t>
      </w:r>
      <w:r>
        <w:rPr>
          <w:rFonts w:eastAsia="Times New Roman" w:cs="Times New Roman"/>
        </w:rPr>
        <w:t xml:space="preserve"> Nội vụ đã rà soát, chỉnh lý dự thảo trên cơ sở các ý kiến góp ý; thống nhất tên văn bản, cập nhật căn cứ pháp lý, chỉnh lý đối tượng, nguyên tắc hỗ trợ, mức hỗ trợ, nguồn kinh phí, điều khoản chuyển tiếp và trách nhiệm thực hiện. Nội dung tiếp thu, giải t</w:t>
      </w:r>
      <w:r>
        <w:rPr>
          <w:rFonts w:eastAsia="Times New Roman" w:cs="Times New Roman"/>
        </w:rPr>
        <w:t>rình được thể hiện tại bản tổng hợp kèm theo hồ sơ.</w:t>
      </w:r>
    </w:p>
    <w:p w:rsidR="00D30658" w:rsidRDefault="006316CE">
      <w:pPr>
        <w:ind w:firstLine="709"/>
        <w:jc w:val="both"/>
      </w:pPr>
      <w:r>
        <w:rPr>
          <w:rFonts w:eastAsia="Times New Roman" w:cs="Times New Roman"/>
        </w:rPr>
        <w:t xml:space="preserve">Hồ sơ dự thảo được hoàn thiện để gửi Sở Tư pháp thẩm định theo điểm a khoản 2 Điều 59b và khoản 4 Điều 59a Nghị định số 78/2025/NĐ-CP được sửa đổi, bổ sung bởi Nghị định số 187/2025/NĐ-CP. Sau khi có kết </w:t>
      </w:r>
      <w:r>
        <w:rPr>
          <w:rFonts w:eastAsia="Times New Roman" w:cs="Times New Roman"/>
        </w:rPr>
        <w:t>quả thẩm định, Sở Nội vụ tiếp thu, giải trình, hoàn thiện hồ sơ theo khoản 3 Điều 59b trước khi trình Ủy ban nhân dân thành phố xem xét, ban hành. Văn bản số 4402/STP-XDPBPL là văn bản góp ý trong quá trình soạn thảo, không thay thế báo cáo thẩm định.</w:t>
      </w:r>
    </w:p>
    <w:p w:rsidR="00D30658" w:rsidRDefault="006316CE">
      <w:pPr>
        <w:pStyle w:val="Heading1"/>
        <w:ind w:firstLine="709"/>
        <w:jc w:val="both"/>
      </w:pPr>
      <w:r>
        <w:rPr>
          <w:rFonts w:ascii="Times New Roman" w:eastAsia="Times New Roman" w:hAnsi="Times New Roman" w:cs="Times New Roman"/>
        </w:rPr>
        <w:t xml:space="preserve">IV. </w:t>
      </w:r>
      <w:r>
        <w:rPr>
          <w:rFonts w:ascii="Times New Roman" w:eastAsia="Times New Roman" w:hAnsi="Times New Roman" w:cs="Times New Roman"/>
        </w:rPr>
        <w:t>BỐ CỤC VÀ NỘI DUNG CƠ BẢN CỦA DỰ THẢO VĂN BẢN</w:t>
      </w:r>
    </w:p>
    <w:p w:rsidR="00D30658" w:rsidRDefault="006316CE">
      <w:pPr>
        <w:keepNext/>
        <w:ind w:firstLine="709"/>
        <w:jc w:val="both"/>
      </w:pPr>
      <w:r>
        <w:rPr>
          <w:rFonts w:eastAsia="Times New Roman" w:cs="Times New Roman"/>
        </w:rPr>
        <w:t>1. Phạm vi điều chỉnh, đối tượng áp dụng</w:t>
      </w:r>
    </w:p>
    <w:p w:rsidR="00D30658" w:rsidRDefault="006316CE">
      <w:pPr>
        <w:ind w:firstLine="709"/>
        <w:jc w:val="both"/>
      </w:pPr>
      <w:r>
        <w:rPr>
          <w:rFonts w:eastAsia="Times New Roman" w:cs="Times New Roman"/>
        </w:rPr>
        <w:t>Dự thảo quy định mức hỗ trợ đào tạo nghề, giải quyết việc làm trong nước, đi làm việc ở nước ngoài theo hợp đồng và trách nhiệm tổ chức thực hiện đối với người có đất th</w:t>
      </w:r>
      <w:r>
        <w:rPr>
          <w:rFonts w:eastAsia="Times New Roman" w:cs="Times New Roman"/>
        </w:rPr>
        <w:t>u hồi trên địa bàn thành phố. Đối tượng được hỗ trợ là người thuộc hộ gia đình, cá nhân theo khoản 2 và khoản 3 Điều 109 của Luật Đất đai; cơ quan, doanh nghiệp, tổ chức, cá nhân liên quan đến việc thực hiện chính sách.</w:t>
      </w:r>
    </w:p>
    <w:p w:rsidR="00D30658" w:rsidRDefault="006316CE">
      <w:pPr>
        <w:keepNext/>
        <w:ind w:firstLine="709"/>
        <w:jc w:val="both"/>
      </w:pPr>
      <w:r>
        <w:rPr>
          <w:rFonts w:eastAsia="Times New Roman" w:cs="Times New Roman"/>
        </w:rPr>
        <w:t>2. Bố cục của dự thảo văn bản</w:t>
      </w:r>
    </w:p>
    <w:p w:rsidR="00D30658" w:rsidRDefault="006316CE">
      <w:pPr>
        <w:ind w:firstLine="709"/>
        <w:jc w:val="both"/>
      </w:pPr>
      <w:r>
        <w:rPr>
          <w:rFonts w:eastAsia="Times New Roman" w:cs="Times New Roman"/>
        </w:rPr>
        <w:t>Dự thả</w:t>
      </w:r>
      <w:r>
        <w:rPr>
          <w:rFonts w:eastAsia="Times New Roman" w:cs="Times New Roman"/>
        </w:rPr>
        <w:t xml:space="preserve">o gồm hai phần: Quyết định ban hành gồm 03 điều quy định việc ban hành Quy định kèm theo, hiệu lực thi hành và chuyển tiếp, trách nhiệm thực hiện; Quy định kèm theo gồm 05 chương, 07 điều, quy định những nội dung chung, mức hỗ trợ đào tạo nghề, mức hỗ trợ </w:t>
      </w:r>
      <w:r>
        <w:rPr>
          <w:rFonts w:eastAsia="Times New Roman" w:cs="Times New Roman"/>
        </w:rPr>
        <w:t>giải quyết việc làm, kinh phí và trách nhiệm thực hiện.</w:t>
      </w:r>
    </w:p>
    <w:p w:rsidR="00D30658" w:rsidRDefault="006316CE">
      <w:pPr>
        <w:keepNext/>
        <w:ind w:firstLine="709"/>
        <w:jc w:val="both"/>
      </w:pPr>
      <w:r>
        <w:rPr>
          <w:rFonts w:eastAsia="Times New Roman" w:cs="Times New Roman"/>
        </w:rPr>
        <w:t>3. Nội dung cơ bản và lý do lựa chọn</w:t>
      </w:r>
    </w:p>
    <w:p w:rsidR="00D30658" w:rsidRDefault="006316CE">
      <w:pPr>
        <w:ind w:firstLine="709"/>
        <w:jc w:val="both"/>
      </w:pPr>
      <w:r>
        <w:rPr>
          <w:rFonts w:eastAsia="Times New Roman" w:cs="Times New Roman"/>
        </w:rPr>
        <w:t xml:space="preserve">a) Về tên gọi và phạm vi: tiếp thu ý kiến Sở Tài chính, sử dụng tên gọi “mức hỗ trợ đào tạo, chuyển đổi nghề và tìm kiếm việc làm” phù hợp với nhiệm </w:t>
      </w:r>
      <w:r>
        <w:rPr>
          <w:rFonts w:eastAsia="Times New Roman" w:cs="Times New Roman"/>
        </w:rPr>
        <w:lastRenderedPageBreak/>
        <w:t>vụ được giao t</w:t>
      </w:r>
      <w:r>
        <w:rPr>
          <w:rFonts w:eastAsia="Times New Roman" w:cs="Times New Roman"/>
        </w:rPr>
        <w:t>ại Điều 109 của Luật Đất đai. Các biện pháp hỗ trợ cụ thể, bao gồm đi làm việc ở nước ngoài theo hợp đồng, được quy định đầy đủ tại các điều tương ứng.</w:t>
      </w:r>
    </w:p>
    <w:p w:rsidR="00D30658" w:rsidRDefault="006316CE">
      <w:pPr>
        <w:ind w:firstLine="709"/>
        <w:jc w:val="both"/>
      </w:pPr>
      <w:r>
        <w:rPr>
          <w:rFonts w:eastAsia="Times New Roman" w:cs="Times New Roman"/>
        </w:rPr>
        <w:t>b) Về thời hạn, nguyên tắc và đối tượng: giữ thời hạn hỗ trợ 05 năm kể từ ngày có quyết định thu hồi đất</w:t>
      </w:r>
      <w:r>
        <w:rPr>
          <w:rFonts w:eastAsia="Times New Roman" w:cs="Times New Roman"/>
        </w:rPr>
        <w:t>; quy định riêng nguyên tắc hỗ trợ đào tạo nghề một lần, hỗ trợ đi làm việc ở nước ngoài theo hợp đồng một lần. Việc một hộ có nhiều người, nhiều thửa đất, nhiều đợt thu hồi hoặc có biến động về quyền sử dụng đất được kiểm tra, đối chiếu theo hồ sơ đất đai</w:t>
      </w:r>
      <w:r>
        <w:rPr>
          <w:rFonts w:eastAsia="Times New Roman" w:cs="Times New Roman"/>
        </w:rPr>
        <w:t>, thông tin thành viên hộ gia đình và pháp luật có liên quan; không đặt hạn mức số người được hỗ trợ cho mỗi hộ hoặc tự bổ sung tiêu chí loại trừ.</w:t>
      </w:r>
    </w:p>
    <w:p w:rsidR="00D30658" w:rsidRDefault="006316CE">
      <w:pPr>
        <w:ind w:firstLine="709"/>
        <w:jc w:val="both"/>
      </w:pPr>
      <w:r>
        <w:rPr>
          <w:rFonts w:eastAsia="Times New Roman" w:cs="Times New Roman"/>
        </w:rPr>
        <w:t xml:space="preserve">c) Về đào tạo nghề: gộp nội dung hỗ trợ các trình độ đào tạo trong một điều. Đối với sơ cấp, đào tạo dưới 03 </w:t>
      </w:r>
      <w:r>
        <w:rPr>
          <w:rFonts w:eastAsia="Times New Roman" w:cs="Times New Roman"/>
        </w:rPr>
        <w:t>tháng, dẫn chiếu khoản 3 Điều 4 Quyết định số 46/2015/QĐ-TTg đối với nhóm có đất thu hồi. Việc viện dẫn khoản 1, khoản 2 Điều 4 chỉ áp dụng khi chính người có đất thu hồi đồng thời thuộc nhóm tương ứng và được xử lý theo khoản 7 Điều 4; không mở rộng đối t</w:t>
      </w:r>
      <w:r>
        <w:rPr>
          <w:rFonts w:eastAsia="Times New Roman" w:cs="Times New Roman"/>
        </w:rPr>
        <w:t>ượng của dự thảo. Như vậy, bảo đảm được hưởng một mức hỗ trợ cao nhất, đồng thời tránh hỗ trợ trùng theo các chính sách khác. Đối với trung cấp, cao đẳng, hỗ trợ học phí một khóa học theo mức thu thực tế nhưng không vượt mức trần đối với cơ sở công lập chư</w:t>
      </w:r>
      <w:r>
        <w:rPr>
          <w:rFonts w:eastAsia="Times New Roman" w:cs="Times New Roman"/>
        </w:rPr>
        <w:t>a tự bảo đảm chi thường xuyên, không thanh toán trùng phần học phí đã được miễn, giảm, hỗ trợ.</w:t>
      </w:r>
    </w:p>
    <w:p w:rsidR="00D30658" w:rsidRDefault="006316CE">
      <w:pPr>
        <w:ind w:firstLine="709"/>
        <w:jc w:val="both"/>
      </w:pPr>
      <w:r>
        <w:rPr>
          <w:rFonts w:eastAsia="Times New Roman" w:cs="Times New Roman"/>
        </w:rPr>
        <w:t>d) Về hỗ trợ việc làm trong nước: duy trì tư vấn, giới thiệu việc làm miễn phí; mức vay hỗ trợ tạo việc làm, duy trì, mở rộng việc làm dẫn chiếu khoản 2, khoản 4</w:t>
      </w:r>
      <w:r>
        <w:rPr>
          <w:rFonts w:eastAsia="Times New Roman" w:cs="Times New Roman"/>
        </w:rPr>
        <w:t xml:space="preserve"> và khoản 5 Điều 5 Nghị định số 338/2025/NĐ-CP. Mức vay cụ thể do Ngân hàng Chính sách xã hội xem xét trên cơ sở nguồn vốn, phương án sử dụng vốn và khả năng trả nợ; không quy định 200 triệu đồng là khoản vay cố định cho mọi người lao động.</w:t>
      </w:r>
    </w:p>
    <w:p w:rsidR="00D30658" w:rsidRDefault="006316CE">
      <w:pPr>
        <w:ind w:firstLine="709"/>
        <w:jc w:val="both"/>
      </w:pPr>
      <w:r>
        <w:rPr>
          <w:rFonts w:eastAsia="Times New Roman" w:cs="Times New Roman"/>
        </w:rPr>
        <w:t>đ) Về đi làm vi</w:t>
      </w:r>
      <w:r>
        <w:rPr>
          <w:rFonts w:eastAsia="Times New Roman" w:cs="Times New Roman"/>
        </w:rPr>
        <w:t>ệc ở nước ngoài: mức hỗ trợ dẫn chiếu khoản 1 đến khoản 4 Điều 30 Nghị định số 338/2025/NĐ-CP; hồ sơ, thủ tục, thẩm quyền thực hiện theo Điều 4, Điều 31 và Điều 32 của Nghị định. Dự thảo không đề xuất mức hỗ trợ cao hơn mức của Trung ương. Chính sách cho v</w:t>
      </w:r>
      <w:r>
        <w:rPr>
          <w:rFonts w:eastAsia="Times New Roman" w:cs="Times New Roman"/>
        </w:rPr>
        <w:t>ay đối với người có đất thu hồi được dẫn chiếu Điều 8 Quyết định số 12/2024/QĐ-TTg; các nội dung tín dụng thuộc phạm vi điều chỉnh của Chương III Nghị định số 338/2025/NĐ-CP thực hiện theo Nghị định này và pháp luật về tín dụng chính sách. Việc dẫn chiếu b</w:t>
      </w:r>
      <w:r>
        <w:rPr>
          <w:rFonts w:eastAsia="Times New Roman" w:cs="Times New Roman"/>
        </w:rPr>
        <w:t>ảo đảm áp dụng quy định hiện hành về chi phí được vay, bảo đảm tiền vay, lãi suất và thủ tục; không gộp vốn vay với hỗ trợ không hoàn lại.</w:t>
      </w:r>
    </w:p>
    <w:p w:rsidR="00D30658" w:rsidRDefault="006316CE">
      <w:pPr>
        <w:ind w:firstLine="709"/>
        <w:jc w:val="both"/>
      </w:pPr>
      <w:r>
        <w:rPr>
          <w:rFonts w:eastAsia="Times New Roman" w:cs="Times New Roman"/>
        </w:rPr>
        <w:t>e) Về kinh phí, chuyển tiếp và trách nhiệm: kinh phí hỗ trợ trực tiếp được lập trong phương án theo pháp luật đất đai</w:t>
      </w:r>
      <w:r>
        <w:rPr>
          <w:rFonts w:eastAsia="Times New Roman" w:cs="Times New Roman"/>
        </w:rPr>
        <w:t>; vốn cho vay được cân đối theo từng chương trình tín dụng và không tính vào khoản kinh phí hỗ trợ trực tiếp trong phương án bồi thường, hỗ trợ, tái định cư. Nội dung hỗ trợ đã phê duyệt, khoản vay và hợp đồng đặt hàng đã ký được xử lý chuyển tiếp theo từn</w:t>
      </w:r>
      <w:r>
        <w:rPr>
          <w:rFonts w:eastAsia="Times New Roman" w:cs="Times New Roman"/>
        </w:rPr>
        <w:t xml:space="preserve">g trường hợp, </w:t>
      </w:r>
      <w:r>
        <w:rPr>
          <w:rFonts w:eastAsia="Times New Roman" w:cs="Times New Roman"/>
        </w:rPr>
        <w:lastRenderedPageBreak/>
        <w:t>tuân thủ pháp luật cấp trên. Sở Tài chính thực hiện nhiệm vụ tham mưu cân đối kinh phí ủy thác; cơ quan, đơn vị thực hiện bồi thường, hỗ trợ, tái định cư phối hợp lập, tổng hợp, trình phương án theo nhiệm vụ được giao.</w:t>
      </w:r>
    </w:p>
    <w:p w:rsidR="00D30658" w:rsidRDefault="006316CE">
      <w:pPr>
        <w:pStyle w:val="Heading1"/>
        <w:ind w:firstLine="709"/>
        <w:jc w:val="both"/>
      </w:pPr>
      <w:r>
        <w:rPr>
          <w:rFonts w:ascii="Times New Roman" w:eastAsia="Times New Roman" w:hAnsi="Times New Roman" w:cs="Times New Roman"/>
        </w:rPr>
        <w:t>V. DỰ KIẾN NGUỒN LỰC, Đ</w:t>
      </w:r>
      <w:r>
        <w:rPr>
          <w:rFonts w:ascii="Times New Roman" w:eastAsia="Times New Roman" w:hAnsi="Times New Roman" w:cs="Times New Roman"/>
        </w:rPr>
        <w:t>IỀU KIỆN BẢO ĐẢM THI HÀNH VÀ THỜI GIAN TRÌNH BAN HÀNH</w:t>
      </w:r>
    </w:p>
    <w:p w:rsidR="00D30658" w:rsidRDefault="006316CE">
      <w:pPr>
        <w:keepNext/>
        <w:ind w:firstLine="709"/>
        <w:jc w:val="both"/>
      </w:pPr>
      <w:r>
        <w:rPr>
          <w:rFonts w:eastAsia="Times New Roman" w:cs="Times New Roman"/>
        </w:rPr>
        <w:t>1. Nguồn lực tài chính</w:t>
      </w:r>
    </w:p>
    <w:p w:rsidR="00D30658" w:rsidRDefault="006316CE">
      <w:pPr>
        <w:ind w:firstLine="709"/>
        <w:jc w:val="both"/>
      </w:pPr>
      <w:r>
        <w:rPr>
          <w:rFonts w:eastAsia="Times New Roman" w:cs="Times New Roman"/>
        </w:rPr>
        <w:t>a) Kinh phí hỗ trợ đào tạo nghề và hỗ trợ đi làm việc ở nước ngoài theo hợp đồng được xác định theo từng đối tượng, nhu cầu, mức hỗ trợ và phương án được cấp có thẩm quyền phê duy</w:t>
      </w:r>
      <w:r>
        <w:rPr>
          <w:rFonts w:eastAsia="Times New Roman" w:cs="Times New Roman"/>
        </w:rPr>
        <w:t>ệt; tính trong chi phí đầu tư của dự án hoặc tổng kinh phí phương án bồi thường, hỗ trợ, tái định cư theo khoản 4 Điều 5, khoản 3 Điều 7 Quyết định số 12/2024/QĐ-TTg. Chủ đầu tư, cơ quan, đơn vị có trách nhiệm bảo đảm kinh phí theo phương án và nguồn vốn c</w:t>
      </w:r>
      <w:r>
        <w:rPr>
          <w:rFonts w:eastAsia="Times New Roman" w:cs="Times New Roman"/>
        </w:rPr>
        <w:t>ủa dự án; không đồng nhất khoản này với kinh phí ngân sách địa phương ủy thác cho vay.</w:t>
      </w:r>
    </w:p>
    <w:p w:rsidR="00D30658" w:rsidRDefault="006316CE">
      <w:pPr>
        <w:ind w:firstLine="709"/>
        <w:jc w:val="both"/>
      </w:pPr>
      <w:r>
        <w:rPr>
          <w:rFonts w:eastAsia="Times New Roman" w:cs="Times New Roman"/>
        </w:rPr>
        <w:t>b) Nguồn vốn cho vay được xác định theo từng chương trình, gồm nguồn ngân sách trung ương cấp cho Ngân hàng Chính sách xã hội, nguồn ngân sách địa phương ủy thác và nguồ</w:t>
      </w:r>
      <w:r>
        <w:rPr>
          <w:rFonts w:eastAsia="Times New Roman" w:cs="Times New Roman"/>
        </w:rPr>
        <w:t>n vốn hợp pháp khác. Việc quản lý nguồn trước đây thuộc Quỹ quốc gia về việc làm thực hiện theo Điều 36 Nghị định số 338/2025/NĐ-CP. Nguồn vốn tín dụng học sinh, sinh viên được quản lý riêng theo chương trình tín dụng tương ứng.</w:t>
      </w:r>
    </w:p>
    <w:p w:rsidR="00D30658" w:rsidRDefault="006316CE">
      <w:pPr>
        <w:ind w:firstLine="709"/>
        <w:jc w:val="both"/>
      </w:pPr>
      <w:r>
        <w:rPr>
          <w:rFonts w:eastAsia="Times New Roman" w:cs="Times New Roman"/>
        </w:rPr>
        <w:t>c) Theo số liệu của Chi nhá</w:t>
      </w:r>
      <w:r>
        <w:rPr>
          <w:rFonts w:eastAsia="Times New Roman" w:cs="Times New Roman"/>
        </w:rPr>
        <w:t>nh Ngân hàng Chính sách xã hội thành phố Đồng Nai đến ngày 31 tháng 8 năm 2026, dư nợ cho vay hỗ trợ tạo việc làm đối với người có đất thu hồi là 923 triệu đồng; dư nợ cho vay đi làm việc ở nước ngoài theo hợp đồng là 299 triệu đồng. Đây là dư nợ đang quản</w:t>
      </w:r>
      <w:r>
        <w:rPr>
          <w:rFonts w:eastAsia="Times New Roman" w:cs="Times New Roman"/>
        </w:rPr>
        <w:t xml:space="preserve"> lý, không phải kinh phí ngân sách địa phương phải bố trí mới hằng năm.</w:t>
      </w:r>
    </w:p>
    <w:p w:rsidR="00D30658" w:rsidRDefault="006316CE">
      <w:pPr>
        <w:ind w:firstLine="709"/>
        <w:jc w:val="both"/>
      </w:pPr>
      <w:r>
        <w:rPr>
          <w:rFonts w:eastAsia="Times New Roman" w:cs="Times New Roman"/>
        </w:rPr>
        <w:t xml:space="preserve">Theo Văn bản số 8662/STC-NSNN ngày 29 tháng 9 năm 2026 của Sở Tài chính, nguồn vốn địa phương ủy thác qua Ngân hàng Chính sách xã hội cho hộ nghèo, hộ cận nghèo và các đối tượng chính </w:t>
      </w:r>
      <w:r>
        <w:rPr>
          <w:rFonts w:eastAsia="Times New Roman" w:cs="Times New Roman"/>
        </w:rPr>
        <w:t>sách khác là 110.000 triệu đồng năm 2024, 135.000 triệu đồng năm 2025 và 200.000 triệu đồng năm 2026. Đây là nguồn vốn chung cho các chương trình tín dụng chính sách, có bao gồm đối tượng người có đất thu hồi; không xác định toàn bộ số vốn này là nguồn dàn</w:t>
      </w:r>
      <w:r>
        <w:rPr>
          <w:rFonts w:eastAsia="Times New Roman" w:cs="Times New Roman"/>
        </w:rPr>
        <w:t>h riêng cho dự thảo Quyết định.</w:t>
      </w:r>
    </w:p>
    <w:p w:rsidR="00D30658" w:rsidRDefault="006316CE">
      <w:pPr>
        <w:ind w:firstLine="709"/>
        <w:jc w:val="both"/>
      </w:pPr>
      <w:r>
        <w:rPr>
          <w:rFonts w:eastAsia="Times New Roman" w:cs="Times New Roman"/>
        </w:rPr>
        <w:t xml:space="preserve">d) Dự kiến tổng kinh phí hỗ trợ trực tiếp giai đoạn 2026–2031 là … triệu đồng; tổng nhu cầu bổ sung nguồn ngân sách địa phương ủy thác là … triệu đồng. Số liệu chi tiết, cơ sở tính toán và phân kỳ từng năm được tổng hợp tại </w:t>
      </w:r>
      <w:r>
        <w:rPr>
          <w:rFonts w:eastAsia="Times New Roman" w:cs="Times New Roman"/>
        </w:rPr>
        <w:t>Phụ lục kèm theo Tờ trình. Nhu cầu bổ sung vốn ủy thác được xác định trên cơ sở nhu cầu giải ngân, nguồn vốn hiện có, vốn thu hồi có thể quay vòng và các nguồn được bổ sung; việc bố trí do cấp có thẩm quyền quyết định theo khả năng cân đối ngân sách, không</w:t>
      </w:r>
      <w:r>
        <w:rPr>
          <w:rFonts w:eastAsia="Times New Roman" w:cs="Times New Roman"/>
        </w:rPr>
        <w:t xml:space="preserve"> xác lập mức cấp vốn tự động hoặc nghĩa vụ cấp bù không có căn cứ.</w:t>
      </w:r>
    </w:p>
    <w:p w:rsidR="00D30658" w:rsidRDefault="006316CE">
      <w:pPr>
        <w:keepNext/>
        <w:ind w:firstLine="709"/>
        <w:jc w:val="both"/>
      </w:pPr>
      <w:r>
        <w:rPr>
          <w:rFonts w:eastAsia="Times New Roman" w:cs="Times New Roman"/>
        </w:rPr>
        <w:lastRenderedPageBreak/>
        <w:t>2. Nguồn nhân lực và điều kiện tổ chức thực hiện</w:t>
      </w:r>
    </w:p>
    <w:p w:rsidR="00D30658" w:rsidRDefault="006316CE">
      <w:pPr>
        <w:ind w:firstLine="709"/>
        <w:jc w:val="both"/>
      </w:pPr>
      <w:r>
        <w:rPr>
          <w:rFonts w:eastAsia="Times New Roman" w:cs="Times New Roman"/>
        </w:rPr>
        <w:t xml:space="preserve">Sử dụng cơ quan, đơn vị, nhân lực hiện có theo chức năng, nhiệm vụ; không thành lập tổ chức mới, không đề xuất tăng biên chế trong dự thảo. </w:t>
      </w:r>
      <w:r>
        <w:rPr>
          <w:rFonts w:eastAsia="Times New Roman" w:cs="Times New Roman"/>
        </w:rPr>
        <w:t>Sở Nội vụ chủ trì theo dõi, tổng hợp; Sở Giáo dục và Đào tạo thực hiện nhiệm vụ về giáo dục nghề nghiệp; Sở Tài chính tham mưu nguồn vốn ủy thác; Sở Nông nghiệp và Môi trường phối hợp về đất đai; Chi nhánh Ngân hàng Chính sách xã hội thực hiện tín dụng chí</w:t>
      </w:r>
      <w:r>
        <w:rPr>
          <w:rFonts w:eastAsia="Times New Roman" w:cs="Times New Roman"/>
        </w:rPr>
        <w:t>nh sách; Ủy ban nhân dân cấp xã và đơn vị thực hiện nhiệm vụ bồi thường phối hợp tổ chức thực hiện.</w:t>
      </w:r>
    </w:p>
    <w:p w:rsidR="00D30658" w:rsidRDefault="006316CE">
      <w:pPr>
        <w:ind w:firstLine="709"/>
        <w:jc w:val="both"/>
      </w:pPr>
      <w:r>
        <w:rPr>
          <w:rFonts w:eastAsia="Times New Roman" w:cs="Times New Roman"/>
        </w:rPr>
        <w:t>Việc lập, kiểm tra và giải quyết hồ sơ sử dụng thông tin, dữ liệu đã có theo quy định; tiếp nhận, xử lý hồ sơ trực tuyến đối với thủ tục đã được công bố, cu</w:t>
      </w:r>
      <w:r>
        <w:rPr>
          <w:rFonts w:eastAsia="Times New Roman" w:cs="Times New Roman"/>
        </w:rPr>
        <w:t>ng cấp trên Cổng Dịch vụ công quốc gia. Dự thảo không quy định thủ tục hành chính mới, không thiết lập cơ sở dữ liệu hoặc yêu cầu đầu tư hệ thống thông tin mới. Nội dung ứng dụng khoa học, công nghệ, đổi mới sáng tạo và chuyển đổi số được hoàn thiện trên c</w:t>
      </w:r>
      <w:r>
        <w:rPr>
          <w:rFonts w:eastAsia="Times New Roman" w:cs="Times New Roman"/>
        </w:rPr>
        <w:t>ơ sở ý kiến của Sở Khoa học và Công nghệ.</w:t>
      </w:r>
    </w:p>
    <w:p w:rsidR="00D30658" w:rsidRDefault="006316CE">
      <w:pPr>
        <w:keepNext/>
        <w:ind w:firstLine="709"/>
        <w:jc w:val="both"/>
      </w:pPr>
      <w:r>
        <w:rPr>
          <w:rFonts w:eastAsia="Times New Roman" w:cs="Times New Roman"/>
        </w:rPr>
        <w:t>3. Thời gian dự kiến trình ban hành</w:t>
      </w:r>
    </w:p>
    <w:p w:rsidR="00D30658" w:rsidRDefault="006316CE">
      <w:pPr>
        <w:ind w:firstLine="709"/>
        <w:jc w:val="both"/>
      </w:pPr>
      <w:r>
        <w:rPr>
          <w:rFonts w:eastAsia="Times New Roman" w:cs="Times New Roman"/>
        </w:rPr>
        <w:t>Dự kiến trình Ủy ban nhân dân thành phố xem xét, ban hành trong tháng 11 năm 2026 sau khi hoàn thành việc thẩm định, tiếp thu, giải trình và hoàn thiện đầy đủ hồ sơ theo quy định</w:t>
      </w:r>
      <w:r>
        <w:rPr>
          <w:rFonts w:eastAsia="Times New Roman" w:cs="Times New Roman"/>
        </w:rPr>
        <w:t>.</w:t>
      </w:r>
    </w:p>
    <w:p w:rsidR="00D30658" w:rsidRDefault="006316CE">
      <w:pPr>
        <w:ind w:firstLine="709"/>
        <w:jc w:val="both"/>
      </w:pPr>
      <w:r>
        <w:rPr>
          <w:rFonts w:eastAsia="Times New Roman" w:cs="Times New Roman"/>
        </w:rPr>
        <w:t>Trên đây là Tờ trình về dự thảo Quyết định thay thế Quyết định số 72/2024/QĐ-UBND. Sở Nội vụ xin kính trình Ủy ban nhân dân thành phố xem xét, quyết định.</w:t>
      </w:r>
      <w:r w:rsidR="00B000AD">
        <w:rPr>
          <w:rFonts w:eastAsia="Times New Roman" w:cs="Times New Roman"/>
        </w:rPr>
        <w:t>/.</w:t>
      </w:r>
    </w:p>
    <w:p w:rsidR="00D30658" w:rsidRPr="00B000AD" w:rsidRDefault="006316CE">
      <w:pPr>
        <w:ind w:firstLine="709"/>
        <w:jc w:val="both"/>
        <w:rPr>
          <w:sz w:val="32"/>
        </w:rPr>
      </w:pPr>
      <w:r w:rsidRPr="00B000AD">
        <w:rPr>
          <w:rFonts w:eastAsia="Times New Roman" w:cs="Times New Roman"/>
          <w:i/>
        </w:rPr>
        <w:t>Hồ sơ kèm theo: dự thảo Quyết định và Quy định; bản so sánh, thuyết minh; bản tổng hợp ý kiến, tiếp</w:t>
      </w:r>
      <w:r w:rsidRPr="00B000AD">
        <w:rPr>
          <w:rFonts w:eastAsia="Times New Roman" w:cs="Times New Roman"/>
          <w:i/>
        </w:rPr>
        <w:t xml:space="preserve"> thu, giải trình; văn bản chấp thuận thủ tục rút gọn, văn bản góp ý và tài liệu liên quan. Báo cáo thẩm định, báo cáo tiếp thu, giải trình ý kiến thẩm định được bổ sung khi trình ban hành.</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219"/>
        <w:gridCol w:w="5032"/>
      </w:tblGrid>
      <w:tr w:rsidR="00D30658" w:rsidTr="00B000AD">
        <w:trPr>
          <w:cantSplit/>
        </w:trPr>
        <w:tc>
          <w:tcPr>
            <w:tcW w:w="4219" w:type="dxa"/>
          </w:tcPr>
          <w:p w:rsidR="00D30658" w:rsidRPr="00B000AD" w:rsidRDefault="006316CE">
            <w:pPr>
              <w:spacing w:after="20" w:line="240" w:lineRule="auto"/>
              <w:rPr>
                <w:sz w:val="32"/>
              </w:rPr>
            </w:pPr>
            <w:r w:rsidRPr="00B000AD">
              <w:rPr>
                <w:rFonts w:eastAsia="Times New Roman" w:cs="Times New Roman"/>
                <w:b/>
                <w:i/>
                <w:sz w:val="24"/>
              </w:rPr>
              <w:t>Nơi nhận:</w:t>
            </w:r>
          </w:p>
          <w:p w:rsidR="00D30658" w:rsidRPr="00B000AD" w:rsidRDefault="006316CE">
            <w:pPr>
              <w:spacing w:after="20" w:line="240" w:lineRule="auto"/>
              <w:rPr>
                <w:sz w:val="24"/>
              </w:rPr>
            </w:pPr>
            <w:r w:rsidRPr="00B000AD">
              <w:rPr>
                <w:rFonts w:eastAsia="Times New Roman" w:cs="Times New Roman"/>
                <w:sz w:val="22"/>
              </w:rPr>
              <w:t>- Như trên;</w:t>
            </w:r>
          </w:p>
          <w:p w:rsidR="00D30658" w:rsidRPr="00B000AD" w:rsidRDefault="006316CE">
            <w:pPr>
              <w:spacing w:after="20" w:line="240" w:lineRule="auto"/>
              <w:rPr>
                <w:sz w:val="24"/>
              </w:rPr>
            </w:pPr>
            <w:r w:rsidRPr="00B000AD">
              <w:rPr>
                <w:rFonts w:eastAsia="Times New Roman" w:cs="Times New Roman"/>
                <w:sz w:val="22"/>
              </w:rPr>
              <w:t>- Văn phòng UBND thành phố;</w:t>
            </w:r>
          </w:p>
          <w:p w:rsidR="00D30658" w:rsidRPr="00B000AD" w:rsidRDefault="006316CE">
            <w:pPr>
              <w:spacing w:after="20" w:line="240" w:lineRule="auto"/>
              <w:rPr>
                <w:sz w:val="24"/>
              </w:rPr>
            </w:pPr>
            <w:r w:rsidRPr="00B000AD">
              <w:rPr>
                <w:rFonts w:eastAsia="Times New Roman" w:cs="Times New Roman"/>
                <w:sz w:val="22"/>
              </w:rPr>
              <w:t xml:space="preserve">- Các Sở: Tư </w:t>
            </w:r>
            <w:r w:rsidRPr="00B000AD">
              <w:rPr>
                <w:rFonts w:eastAsia="Times New Roman" w:cs="Times New Roman"/>
                <w:sz w:val="22"/>
              </w:rPr>
              <w:t>pháp, Tài chính, Giáo dục và Đào tạo, Nông nghiệp và Môi trường;</w:t>
            </w:r>
          </w:p>
          <w:p w:rsidR="00D30658" w:rsidRPr="00B000AD" w:rsidRDefault="006316CE">
            <w:pPr>
              <w:spacing w:after="20" w:line="240" w:lineRule="auto"/>
              <w:rPr>
                <w:sz w:val="24"/>
              </w:rPr>
            </w:pPr>
            <w:r w:rsidRPr="00B000AD">
              <w:rPr>
                <w:rFonts w:eastAsia="Times New Roman" w:cs="Times New Roman"/>
                <w:sz w:val="22"/>
              </w:rPr>
              <w:t>- Chi nhánh Ngân hàng Chính sách xã hội thành phố;</w:t>
            </w:r>
          </w:p>
          <w:p w:rsidR="00D30658" w:rsidRPr="00B000AD" w:rsidRDefault="006316CE">
            <w:pPr>
              <w:spacing w:after="20" w:line="240" w:lineRule="auto"/>
              <w:rPr>
                <w:sz w:val="24"/>
              </w:rPr>
            </w:pPr>
            <w:r w:rsidRPr="00B000AD">
              <w:rPr>
                <w:rFonts w:eastAsia="Times New Roman" w:cs="Times New Roman"/>
                <w:sz w:val="22"/>
              </w:rPr>
              <w:t>- Giám đốc, Phó Giám đốc Sở phụ trách;</w:t>
            </w:r>
          </w:p>
          <w:p w:rsidR="00D30658" w:rsidRDefault="006316CE">
            <w:pPr>
              <w:spacing w:after="20" w:line="240" w:lineRule="auto"/>
            </w:pPr>
            <w:r w:rsidRPr="00B000AD">
              <w:rPr>
                <w:rFonts w:eastAsia="Times New Roman" w:cs="Times New Roman"/>
                <w:sz w:val="22"/>
              </w:rPr>
              <w:t>- Lưu: VT, LĐ.</w:t>
            </w:r>
            <w:bookmarkStart w:id="0" w:name="_GoBack"/>
            <w:bookmarkEnd w:id="0"/>
          </w:p>
        </w:tc>
        <w:tc>
          <w:tcPr>
            <w:tcW w:w="5032" w:type="dxa"/>
          </w:tcPr>
          <w:p w:rsidR="00D30658" w:rsidRDefault="006316CE">
            <w:pPr>
              <w:keepNext/>
              <w:spacing w:after="0" w:line="240" w:lineRule="auto"/>
              <w:jc w:val="center"/>
            </w:pPr>
            <w:r>
              <w:rPr>
                <w:rFonts w:eastAsia="Times New Roman" w:cs="Times New Roman"/>
                <w:b/>
                <w:sz w:val="26"/>
              </w:rPr>
              <w:t>KT. GIÁM ĐỐC</w:t>
            </w:r>
            <w:r>
              <w:rPr>
                <w:rFonts w:eastAsia="Times New Roman" w:cs="Times New Roman"/>
                <w:b/>
                <w:sz w:val="26"/>
              </w:rPr>
              <w:br/>
              <w:t>PHÓ GIÁM ĐỐC</w:t>
            </w:r>
          </w:p>
          <w:p w:rsidR="00D30658" w:rsidRDefault="00D30658">
            <w:pPr>
              <w:spacing w:after="900"/>
            </w:pPr>
          </w:p>
          <w:p w:rsidR="00D30658" w:rsidRDefault="00D30658">
            <w:pPr>
              <w:jc w:val="center"/>
            </w:pPr>
          </w:p>
        </w:tc>
      </w:tr>
    </w:tbl>
    <w:p w:rsidR="00D30658" w:rsidRDefault="00D30658" w:rsidP="00B000AD">
      <w:pPr>
        <w:keepNext/>
        <w:pageBreakBefore/>
        <w:spacing w:after="100"/>
        <w:jc w:val="center"/>
      </w:pPr>
    </w:p>
    <w:sectPr w:rsidR="00D30658" w:rsidSect="00B000AD">
      <w:headerReference w:type="default" r:id="rId8"/>
      <w:pgSz w:w="11906" w:h="16838"/>
      <w:pgMar w:top="1021" w:right="1134" w:bottom="1021"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16CE" w:rsidRDefault="006316CE">
      <w:pPr>
        <w:spacing w:after="0" w:line="240" w:lineRule="auto"/>
      </w:pPr>
      <w:r>
        <w:separator/>
      </w:r>
    </w:p>
  </w:endnote>
  <w:endnote w:type="continuationSeparator" w:id="0">
    <w:p w:rsidR="006316CE" w:rsidRDefault="00631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16CE" w:rsidRDefault="006316CE">
      <w:pPr>
        <w:spacing w:after="0" w:line="240" w:lineRule="auto"/>
      </w:pPr>
      <w:r>
        <w:separator/>
      </w:r>
    </w:p>
  </w:footnote>
  <w:footnote w:type="continuationSeparator" w:id="0">
    <w:p w:rsidR="006316CE" w:rsidRDefault="006316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0658" w:rsidRDefault="006316CE">
    <w:pPr>
      <w:pStyle w:val="Header"/>
      <w:jc w:val="center"/>
    </w:pPr>
    <w:r>
      <w:rPr>
        <w:rFonts w:eastAsia="Times New Roman" w:cs="Times New Roman"/>
        <w:sz w:val="26"/>
      </w:rPr>
      <w:fldChar w:fldCharType="begin"/>
    </w:r>
    <w:r>
      <w:rPr>
        <w:rFonts w:eastAsia="Times New Roman" w:cs="Times New Roman"/>
        <w:sz w:val="26"/>
      </w:rPr>
      <w:instrText xml:space="preserve"> PAGE </w:instrText>
    </w:r>
    <w:r w:rsidR="00B000AD">
      <w:rPr>
        <w:rFonts w:eastAsia="Times New Roman" w:cs="Times New Roman"/>
        <w:sz w:val="26"/>
      </w:rPr>
      <w:fldChar w:fldCharType="separate"/>
    </w:r>
    <w:r w:rsidR="00B000AD">
      <w:rPr>
        <w:rFonts w:eastAsia="Times New Roman" w:cs="Times New Roman"/>
        <w:noProof/>
        <w:sz w:val="26"/>
      </w:rPr>
      <w:t>2</w:t>
    </w:r>
    <w:r>
      <w:rPr>
        <w:rFonts w:eastAsia="Times New Roman" w:cs="Times New Roman"/>
        <w:sz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316CE"/>
    <w:rsid w:val="00AA1D8D"/>
    <w:rsid w:val="00B000AD"/>
    <w:rsid w:val="00B47730"/>
    <w:rsid w:val="00CB0664"/>
    <w:rsid w:val="00D306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26A880"/>
  <w14:defaultImageDpi w14:val="300"/>
  <w15:docId w15:val="{042D0E5E-EB26-4710-808D-7A639BE8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20" w:line="264" w:lineRule="auto"/>
    </w:pPr>
    <w:rPr>
      <w:rFonts w:ascii="Times New Roman" w:hAnsi="Times New Roman"/>
      <w:color w:val="000000"/>
      <w:sz w:val="28"/>
    </w:rPr>
  </w:style>
  <w:style w:type="paragraph" w:styleId="Heading1">
    <w:name w:val="heading 1"/>
    <w:basedOn w:val="Normal"/>
    <w:next w:val="Normal"/>
    <w:link w:val="Heading1Char"/>
    <w:uiPriority w:val="9"/>
    <w:qFormat/>
    <w:rsid w:val="00FC693F"/>
    <w:pPr>
      <w:keepNext/>
      <w:keepLines/>
      <w:spacing w:after="10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after="1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after="1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B8D93-E620-48F1-8B86-C1072E7FA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2541</Words>
  <Characters>14487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16995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 Du thao To trinh UBND Dong Nai</dc:title>
  <dc:subject>Hồ sơ dự thảo gửi Sở Tư pháp thẩm định</dc:subject>
  <dc:creator>Sở Nội vụ</dc:creator>
  <cp:keywords/>
  <dc:description>generated by python-docx</dc:description>
  <cp:lastModifiedBy>PCDV</cp:lastModifiedBy>
  <cp:revision>2</cp:revision>
  <dcterms:created xsi:type="dcterms:W3CDTF">2013-12-23T23:15:00Z</dcterms:created>
  <dcterms:modified xsi:type="dcterms:W3CDTF">2026-10-16T12:49:00Z</dcterms:modified>
  <cp:category/>
</cp:coreProperties>
</file>